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2"/>
        <w:gridCol w:w="1704"/>
      </w:tblGrid>
      <w:tr w:rsidR="00552058" w:rsidTr="00552058">
        <w:trPr>
          <w:trHeight w:val="1716"/>
        </w:trPr>
        <w:tc>
          <w:tcPr>
            <w:tcW w:w="6552" w:type="dxa"/>
          </w:tcPr>
          <w:p w:rsidR="00552058" w:rsidRDefault="00817D21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,Bold" w:hAnsi="BookAntiqua,Bold" w:cs="BookAntiqua,Bold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BookAntiqua,Bold" w:hAnsi="BookAntiqua,Bold" w:cs="BookAntiqua,Bold"/>
                <w:b/>
                <w:bCs/>
                <w:color w:val="800000"/>
                <w:sz w:val="24"/>
                <w:szCs w:val="24"/>
              </w:rPr>
              <w:t xml:space="preserve">PUNTEGGI ATTRIBUITI </w:t>
            </w:r>
            <w:r w:rsidR="00552058">
              <w:rPr>
                <w:rFonts w:ascii="BookAntiqua,Bold" w:hAnsi="BookAntiqua,Bold" w:cs="BookAntiqua,Bold"/>
                <w:b/>
                <w:bCs/>
                <w:color w:val="800000"/>
                <w:sz w:val="24"/>
                <w:szCs w:val="24"/>
              </w:rPr>
              <w:t>PER L'INDIVIDUAZIONE DEGLI OSSERVATORI ESTERNI</w:t>
            </w:r>
          </w:p>
          <w:p w:rsidR="00817D21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L'elenco nominativo degli osservatori è definito sulla base dei seguenti criteri di selezione.</w:t>
            </w:r>
            <w:r w:rsidR="00817D21">
              <w:rPr>
                <w:rFonts w:ascii="BookAntiqua" w:hAnsi="BookAntiqua" w:cs="BookAntiqua"/>
                <w:color w:val="000000"/>
                <w:sz w:val="20"/>
                <w:szCs w:val="20"/>
              </w:rPr>
              <w:t xml:space="preserve"> </w:t>
            </w:r>
          </w:p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Le categorie di personale scolastico tra cui saranno individuati, in ordine preferenziale, gli osservatori, sono</w:t>
            </w:r>
          </w:p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le seguenti:</w:t>
            </w:r>
          </w:p>
        </w:tc>
        <w:tc>
          <w:tcPr>
            <w:tcW w:w="1704" w:type="dxa"/>
          </w:tcPr>
          <w:p w:rsidR="00552058" w:rsidRPr="008B35D5" w:rsidRDefault="008B35D5">
            <w:pPr>
              <w:rPr>
                <w:color w:val="FF0000"/>
                <w:sz w:val="36"/>
                <w:szCs w:val="36"/>
              </w:rPr>
            </w:pPr>
            <w:r w:rsidRPr="008B35D5">
              <w:rPr>
                <w:color w:val="FF0000"/>
                <w:sz w:val="36"/>
                <w:szCs w:val="36"/>
              </w:rPr>
              <w:t>punteggio</w:t>
            </w:r>
          </w:p>
          <w:p w:rsidR="008B35D5" w:rsidRDefault="008B35D5"/>
        </w:tc>
      </w:tr>
      <w:tr w:rsidR="00552058" w:rsidTr="00552058">
        <w:trPr>
          <w:trHeight w:val="228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,Bold" w:hAnsi="BookAntiqua,Bold" w:cs="BookAntiqua,Bold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1. Dirigenti tecnici (in servizio; in quiescenza da non più di tre anni);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20</w:t>
            </w:r>
          </w:p>
        </w:tc>
      </w:tr>
      <w:tr w:rsidR="00552058" w:rsidTr="00552058">
        <w:trPr>
          <w:trHeight w:val="204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,Bold" w:hAnsi="BookAntiqua,Bold" w:cs="BookAntiqua,Bold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2. Dirigenti scolastici (in servizio; in quiescenza da non più di tre anni);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15</w:t>
            </w:r>
          </w:p>
        </w:tc>
      </w:tr>
      <w:tr w:rsidR="00552058" w:rsidTr="00552058">
        <w:trPr>
          <w:trHeight w:val="504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3. Docenti collaboratori del Dirigente scolastico (in servizio; in quiescenza da non più di tre anni);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12</w:t>
            </w:r>
          </w:p>
        </w:tc>
      </w:tr>
      <w:tr w:rsidR="00552058" w:rsidTr="00552058">
        <w:trPr>
          <w:trHeight w:val="1152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4. Docenti incaricati dello svolgimento di funzioni strumentali, con precedenza per quelli incaricati dello svolgimento di funzioni attinenti alla valutazione degli apprendimenti (in servizio; in quiescenza da non più di tre anni);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10</w:t>
            </w:r>
          </w:p>
        </w:tc>
      </w:tr>
      <w:tr w:rsidR="00552058" w:rsidTr="00552058">
        <w:trPr>
          <w:trHeight w:val="744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5. Docenti comandati presso gli USR, articolazioni territoriali USR, ANSAS (in servizio; in quiescenza da non più di tre anni);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9</w:t>
            </w:r>
          </w:p>
        </w:tc>
      </w:tr>
      <w:tr w:rsidR="00552058" w:rsidTr="00552058">
        <w:trPr>
          <w:trHeight w:val="1128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6. Docenti esperti già utilizzati in precedenti rilevazioni o coinvolti con compiti di formatori o di tutor nei seminari di sensibilizzazione alle indagini OCSE-PISA (in servizio; in quiescenza da non più di tre anni);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7</w:t>
            </w:r>
          </w:p>
        </w:tc>
      </w:tr>
      <w:tr w:rsidR="00552058" w:rsidTr="00552058">
        <w:trPr>
          <w:trHeight w:val="684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7. Docenti somministratori nelle scuole campionate nell'ambito dell'indagine OCSE-PISA (in servizio;</w:t>
            </w:r>
          </w:p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in quiescenza da non più di tre anni);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6</w:t>
            </w:r>
          </w:p>
        </w:tc>
      </w:tr>
      <w:tr w:rsidR="00552058" w:rsidTr="00552058">
        <w:trPr>
          <w:trHeight w:val="720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8. Docenti somministratori nelle scuole campionate nell'ambito delle indagini IEA-PIRLS e IEA-TIMSS (in servizio; in quiescenza da non più di tre anni);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6</w:t>
            </w:r>
          </w:p>
        </w:tc>
      </w:tr>
      <w:tr w:rsidR="00552058" w:rsidTr="00552058">
        <w:trPr>
          <w:trHeight w:val="456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9. Docenti con contratto a tempo indeterminato (in servizio; in quiescenza da non più di tre anni);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5</w:t>
            </w:r>
          </w:p>
        </w:tc>
      </w:tr>
      <w:tr w:rsidR="00552058" w:rsidTr="00552058">
        <w:trPr>
          <w:trHeight w:val="696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10. Docenti con contratto a tempo determinato, (iscritto nelle graduatorie provinciali per l’insegnamento o d’Istituto);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4</w:t>
            </w:r>
          </w:p>
        </w:tc>
      </w:tr>
      <w:tr w:rsidR="00552058" w:rsidTr="00552058">
        <w:trPr>
          <w:trHeight w:val="732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11. Candidati in possesso di Laurea Magistrale (iscritto nelle graduatorie provinciali per l’insegnamento o d’Istituto);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3</w:t>
            </w:r>
          </w:p>
        </w:tc>
      </w:tr>
      <w:tr w:rsidR="00552058" w:rsidTr="00552058">
        <w:trPr>
          <w:trHeight w:val="696"/>
        </w:trPr>
        <w:tc>
          <w:tcPr>
            <w:tcW w:w="6552" w:type="dxa"/>
          </w:tcPr>
          <w:p w:rsidR="00552058" w:rsidRDefault="00552058" w:rsidP="0055205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>12. Candidati in possesso di Diploma di Scuola secondaria di 2° grado (iscritto nelle graduatorie provinciali per l’insegnamento o d’Istituto);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2</w:t>
            </w:r>
          </w:p>
        </w:tc>
      </w:tr>
      <w:tr w:rsidR="00552058" w:rsidTr="00552058">
        <w:trPr>
          <w:trHeight w:val="648"/>
        </w:trPr>
        <w:tc>
          <w:tcPr>
            <w:tcW w:w="6552" w:type="dxa"/>
          </w:tcPr>
          <w:p w:rsidR="00552058" w:rsidRDefault="00552058" w:rsidP="00552058">
            <w:pPr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>
              <w:rPr>
                <w:rFonts w:ascii="BookAntiqua" w:hAnsi="BookAntiqua" w:cs="BookAntiqua"/>
                <w:color w:val="000000"/>
                <w:sz w:val="20"/>
                <w:szCs w:val="20"/>
              </w:rPr>
              <w:t xml:space="preserve">13. Candidati laureati/diplomati non iscritti in graduatoria per l’insegnamento ma già impiegati come </w:t>
            </w:r>
            <w:r w:rsidRPr="00552058">
              <w:rPr>
                <w:rFonts w:ascii="BookAntiqua" w:hAnsi="BookAntiqua" w:cs="BookAntiqua"/>
                <w:color w:val="000000"/>
                <w:sz w:val="20"/>
                <w:szCs w:val="20"/>
              </w:rPr>
              <w:t>osservatori Invalsi;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2</w:t>
            </w:r>
          </w:p>
        </w:tc>
      </w:tr>
      <w:tr w:rsidR="00552058" w:rsidTr="00552058">
        <w:trPr>
          <w:trHeight w:val="648"/>
        </w:trPr>
        <w:tc>
          <w:tcPr>
            <w:tcW w:w="6552" w:type="dxa"/>
          </w:tcPr>
          <w:p w:rsidR="00552058" w:rsidRDefault="00552058" w:rsidP="00552058">
            <w:pPr>
              <w:rPr>
                <w:rFonts w:ascii="BookAntiqua" w:hAnsi="BookAntiqua" w:cs="BookAntiqua"/>
                <w:color w:val="000000"/>
                <w:sz w:val="20"/>
                <w:szCs w:val="20"/>
              </w:rPr>
            </w:pPr>
            <w:r w:rsidRPr="00552058">
              <w:rPr>
                <w:rFonts w:ascii="BookAntiqua" w:hAnsi="BookAntiqua" w:cs="BookAntiqua"/>
                <w:color w:val="000000"/>
                <w:sz w:val="20"/>
                <w:szCs w:val="20"/>
              </w:rPr>
              <w:t>14. Altro (Laureati o diplomati non appartenenti alle categorie precedenti).</w:t>
            </w:r>
          </w:p>
        </w:tc>
        <w:tc>
          <w:tcPr>
            <w:tcW w:w="1704" w:type="dxa"/>
          </w:tcPr>
          <w:p w:rsidR="00552058" w:rsidRPr="008B35D5" w:rsidRDefault="008B35D5" w:rsidP="008B35D5">
            <w:pPr>
              <w:jc w:val="center"/>
              <w:rPr>
                <w:b/>
                <w:sz w:val="36"/>
                <w:szCs w:val="36"/>
              </w:rPr>
            </w:pPr>
            <w:r w:rsidRPr="008B35D5">
              <w:rPr>
                <w:b/>
                <w:sz w:val="36"/>
                <w:szCs w:val="36"/>
              </w:rPr>
              <w:t>1</w:t>
            </w:r>
          </w:p>
        </w:tc>
      </w:tr>
    </w:tbl>
    <w:p w:rsidR="001A159D" w:rsidRDefault="001A159D"/>
    <w:sectPr w:rsidR="001A1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58"/>
    <w:rsid w:val="001A159D"/>
    <w:rsid w:val="00552058"/>
    <w:rsid w:val="00817D21"/>
    <w:rsid w:val="008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CE59-736F-4D51-BF1C-28BED237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2016-04-08T06:42:00Z</dcterms:created>
  <dcterms:modified xsi:type="dcterms:W3CDTF">2016-04-08T06:42:00Z</dcterms:modified>
</cp:coreProperties>
</file>